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A93A4" w14:textId="77777777" w:rsidR="0094567E" w:rsidRDefault="0094567E"/>
    <w:p w14:paraId="68244C61" w14:textId="57BCE163" w:rsidR="0094567E" w:rsidRDefault="0094567E">
      <w:pPr>
        <w:rPr>
          <w:rFonts w:cstheme="minorHAnsi"/>
          <w:sz w:val="32"/>
          <w:szCs w:val="32"/>
        </w:rPr>
      </w:pPr>
      <w:r w:rsidRPr="00E94245">
        <w:rPr>
          <w:rFonts w:cstheme="minorHAnsi"/>
          <w:sz w:val="32"/>
          <w:szCs w:val="32"/>
        </w:rPr>
        <w:t>ZÁZNAM O ZPRACOVÁNÍ OSOBNÍCH ÚDAJŮ – KAMEROVÝ SYSTÉM</w:t>
      </w:r>
    </w:p>
    <w:tbl>
      <w:tblPr>
        <w:tblStyle w:val="Mkatabulky"/>
        <w:tblW w:w="5000" w:type="pct"/>
        <w:tblLook w:val="04A0" w:firstRow="1" w:lastRow="0" w:firstColumn="1" w:lastColumn="0" w:noHBand="0" w:noVBand="1"/>
      </w:tblPr>
      <w:tblGrid>
        <w:gridCol w:w="2253"/>
        <w:gridCol w:w="6809"/>
      </w:tblGrid>
      <w:tr w:rsidR="0094567E" w14:paraId="6C007EF0" w14:textId="77777777" w:rsidTr="004C24A0">
        <w:trPr>
          <w:trHeight w:val="1800"/>
        </w:trPr>
        <w:tc>
          <w:tcPr>
            <w:tcW w:w="1243" w:type="pct"/>
          </w:tcPr>
          <w:p w14:paraId="1F6F616B" w14:textId="77777777" w:rsidR="004C24A0" w:rsidRDefault="004C24A0" w:rsidP="002430E5"/>
          <w:p w14:paraId="04A74D49" w14:textId="77777777" w:rsidR="004C24A0" w:rsidRDefault="004C24A0" w:rsidP="002430E5"/>
          <w:p w14:paraId="15323D2A" w14:textId="77777777" w:rsidR="004C24A0" w:rsidRDefault="004C24A0" w:rsidP="002430E5"/>
          <w:p w14:paraId="2D34EC14" w14:textId="214CAA69" w:rsidR="0094567E" w:rsidRDefault="0094567E" w:rsidP="002430E5">
            <w:r>
              <w:t>Správce</w:t>
            </w:r>
          </w:p>
        </w:tc>
        <w:tc>
          <w:tcPr>
            <w:tcW w:w="3757" w:type="pct"/>
            <w:vAlign w:val="center"/>
          </w:tcPr>
          <w:p w14:paraId="4BE198BE" w14:textId="77777777" w:rsidR="009252FD" w:rsidRDefault="009252FD" w:rsidP="004C24A0">
            <w:pPr>
              <w:pStyle w:val="Bezmezer"/>
              <w:rPr>
                <w:rFonts w:cstheme="minorHAnsi"/>
              </w:rPr>
            </w:pPr>
          </w:p>
          <w:p w14:paraId="14680A8E" w14:textId="249A3B4C" w:rsidR="0094567E" w:rsidRPr="00C12188" w:rsidRDefault="0094567E" w:rsidP="004C24A0">
            <w:pPr>
              <w:pStyle w:val="Bezmezer"/>
              <w:rPr>
                <w:rFonts w:cstheme="minorHAnsi"/>
                <w:b/>
                <w:bCs/>
              </w:rPr>
            </w:pPr>
            <w:r w:rsidRPr="0001217E">
              <w:rPr>
                <w:rFonts w:cstheme="minorHAnsi"/>
              </w:rPr>
              <w:t xml:space="preserve">Název: </w:t>
            </w:r>
            <w:r w:rsidR="00EE3C50" w:rsidRPr="00C12188">
              <w:rPr>
                <w:rFonts w:cstheme="minorHAnsi"/>
                <w:b/>
                <w:bCs/>
              </w:rPr>
              <w:t xml:space="preserve">Obec </w:t>
            </w:r>
            <w:r w:rsidR="006C5BED" w:rsidRPr="00C12188">
              <w:rPr>
                <w:rFonts w:cstheme="minorHAnsi"/>
                <w:b/>
                <w:bCs/>
              </w:rPr>
              <w:t>Bohuslavice u Zlína</w:t>
            </w:r>
          </w:p>
          <w:p w14:paraId="770BB83E" w14:textId="5110DF07" w:rsidR="006C5BED" w:rsidRPr="0001217E" w:rsidRDefault="0094567E" w:rsidP="006C5BED">
            <w:pPr>
              <w:pStyle w:val="Bezmezer"/>
              <w:rPr>
                <w:rFonts w:cstheme="minorHAnsi"/>
              </w:rPr>
            </w:pPr>
            <w:r w:rsidRPr="0001217E">
              <w:rPr>
                <w:rFonts w:cstheme="minorHAnsi"/>
              </w:rPr>
              <w:t>Adresa</w:t>
            </w:r>
            <w:r w:rsidR="0001217E">
              <w:rPr>
                <w:rFonts w:cstheme="minorHAnsi"/>
              </w:rPr>
              <w:t>:</w:t>
            </w:r>
            <w:r w:rsidR="00EE3C50" w:rsidRPr="0001217E">
              <w:rPr>
                <w:rFonts w:cstheme="minorHAnsi"/>
                <w:color w:val="000000"/>
              </w:rPr>
              <w:t xml:space="preserve"> </w:t>
            </w:r>
            <w:r w:rsidR="006C5BED">
              <w:rPr>
                <w:rFonts w:cstheme="minorHAnsi"/>
              </w:rPr>
              <w:t>Bohuslavice u Zlína 185</w:t>
            </w:r>
          </w:p>
          <w:p w14:paraId="5BF1E594" w14:textId="27DF82C6" w:rsidR="004B6C5F" w:rsidRPr="0001217E" w:rsidRDefault="00EE3C50" w:rsidP="00EE3C50">
            <w:pPr>
              <w:pStyle w:val="Bezmezer"/>
              <w:rPr>
                <w:rFonts w:eastAsia="Times New Roman" w:cstheme="minorHAnsi"/>
                <w:kern w:val="0"/>
                <w:lang w:eastAsia="cs-CZ"/>
                <w14:ligatures w14:val="none"/>
              </w:rPr>
            </w:pPr>
            <w:r w:rsidRPr="0001217E">
              <w:rPr>
                <w:rFonts w:cstheme="minorHAnsi"/>
                <w:color w:val="000000"/>
              </w:rPr>
              <w:t>76</w:t>
            </w:r>
            <w:r w:rsidR="006C5BED">
              <w:rPr>
                <w:rFonts w:cstheme="minorHAnsi"/>
                <w:color w:val="000000"/>
              </w:rPr>
              <w:t>3 51 Bohuslavice u Zlína</w:t>
            </w:r>
          </w:p>
          <w:p w14:paraId="16C6D4C6" w14:textId="6E2455AC" w:rsidR="004B6C5F" w:rsidRPr="0001217E" w:rsidRDefault="00EE3C50" w:rsidP="004C24A0">
            <w:pPr>
              <w:pStyle w:val="Bezmezer"/>
              <w:rPr>
                <w:rFonts w:eastAsia="Times New Roman" w:cstheme="minorHAnsi"/>
                <w:kern w:val="0"/>
                <w:lang w:eastAsia="cs-CZ"/>
                <w14:ligatures w14:val="none"/>
              </w:rPr>
            </w:pPr>
            <w:r w:rsidRPr="0001217E">
              <w:rPr>
                <w:rFonts w:eastAsia="Times New Roman" w:cstheme="minorHAnsi"/>
                <w:kern w:val="0"/>
                <w:lang w:eastAsia="cs-CZ"/>
                <w14:ligatures w14:val="none"/>
              </w:rPr>
              <w:t xml:space="preserve">IČ: </w:t>
            </w:r>
            <w:r w:rsidR="00B20E52" w:rsidRPr="00B20E52">
              <w:rPr>
                <w:rFonts w:eastAsia="Times New Roman" w:cstheme="minorHAnsi"/>
                <w:kern w:val="0"/>
                <w:lang w:eastAsia="cs-CZ"/>
                <w14:ligatures w14:val="none"/>
              </w:rPr>
              <w:t>00283789</w:t>
            </w:r>
          </w:p>
          <w:p w14:paraId="25218D88" w14:textId="1E5FA3A9" w:rsidR="008D349D" w:rsidRPr="0001217E" w:rsidRDefault="0094567E" w:rsidP="004C24A0">
            <w:pPr>
              <w:pStyle w:val="Bezmezer"/>
              <w:rPr>
                <w:rFonts w:cstheme="minorHAnsi"/>
              </w:rPr>
            </w:pPr>
            <w:r w:rsidRPr="0001217E">
              <w:rPr>
                <w:rFonts w:cstheme="minorHAnsi"/>
              </w:rPr>
              <w:t xml:space="preserve">Kontaktní osoba: </w:t>
            </w:r>
            <w:r w:rsidR="00B20E52">
              <w:rPr>
                <w:rFonts w:cstheme="minorHAnsi"/>
              </w:rPr>
              <w:t xml:space="preserve">Mgr. Světlana </w:t>
            </w:r>
            <w:proofErr w:type="spellStart"/>
            <w:r w:rsidR="00B20E52">
              <w:rPr>
                <w:rFonts w:cstheme="minorHAnsi"/>
              </w:rPr>
              <w:t>Bilavčíková</w:t>
            </w:r>
            <w:proofErr w:type="spellEnd"/>
            <w:r w:rsidR="00EE3C50" w:rsidRPr="0001217E">
              <w:rPr>
                <w:rFonts w:cstheme="minorHAnsi"/>
              </w:rPr>
              <w:t>, starost</w:t>
            </w:r>
            <w:r w:rsidR="00B20E52">
              <w:rPr>
                <w:rFonts w:cstheme="minorHAnsi"/>
              </w:rPr>
              <w:t>k</w:t>
            </w:r>
            <w:r w:rsidR="00EE3C50" w:rsidRPr="0001217E">
              <w:rPr>
                <w:rFonts w:cstheme="minorHAnsi"/>
              </w:rPr>
              <w:t>a obce</w:t>
            </w:r>
          </w:p>
          <w:p w14:paraId="4E0AF5CF" w14:textId="3C42ADE1" w:rsidR="00E94245" w:rsidRPr="0001217E" w:rsidRDefault="00E94245" w:rsidP="004C24A0">
            <w:pPr>
              <w:pStyle w:val="Bezmezer"/>
              <w:rPr>
                <w:rFonts w:cstheme="minorHAnsi"/>
              </w:rPr>
            </w:pPr>
            <w:r w:rsidRPr="0001217E">
              <w:rPr>
                <w:rFonts w:cstheme="minorHAnsi"/>
              </w:rPr>
              <w:t>Tel.:</w:t>
            </w:r>
            <w:r w:rsidR="004B6C5F" w:rsidRPr="0001217E">
              <w:rPr>
                <w:rFonts w:cstheme="minorHAnsi"/>
              </w:rPr>
              <w:t xml:space="preserve"> +420</w:t>
            </w:r>
            <w:r w:rsidR="00B20E52">
              <w:rPr>
                <w:rFonts w:cstheme="minorHAnsi"/>
              </w:rPr>
              <w:t> </w:t>
            </w:r>
            <w:r w:rsidR="00EE3C50" w:rsidRPr="0001217E">
              <w:rPr>
                <w:rFonts w:cstheme="minorHAnsi"/>
              </w:rPr>
              <w:t>57</w:t>
            </w:r>
            <w:r w:rsidR="00B20E52">
              <w:rPr>
                <w:rFonts w:cstheme="minorHAnsi"/>
              </w:rPr>
              <w:t>7 991 001</w:t>
            </w:r>
          </w:p>
          <w:p w14:paraId="1226D625" w14:textId="3F12BFF3" w:rsidR="00EE3C50" w:rsidRPr="0001217E" w:rsidRDefault="00EE3C50" w:rsidP="004C24A0">
            <w:pPr>
              <w:pStyle w:val="Bezmezer"/>
              <w:rPr>
                <w:rStyle w:val="Hypertextovodkaz"/>
                <w:rFonts w:cstheme="minorHAnsi"/>
                <w:color w:val="auto"/>
                <w:u w:val="none"/>
                <w:shd w:val="clear" w:color="auto" w:fill="FFFFFF"/>
              </w:rPr>
            </w:pPr>
            <w:r w:rsidRPr="0001217E">
              <w:rPr>
                <w:rStyle w:val="Hypertextovodkaz"/>
                <w:rFonts w:cstheme="minorHAnsi"/>
                <w:color w:val="auto"/>
                <w:u w:val="none"/>
                <w:shd w:val="clear" w:color="auto" w:fill="FFFFFF"/>
              </w:rPr>
              <w:t>E-mail:</w:t>
            </w:r>
            <w:r w:rsidR="00B20E52">
              <w:rPr>
                <w:rStyle w:val="Hypertextovodkaz"/>
                <w:rFonts w:cstheme="minorHAnsi"/>
                <w:color w:val="auto"/>
                <w:u w:val="none"/>
                <w:shd w:val="clear" w:color="auto" w:fill="FFFFFF"/>
              </w:rPr>
              <w:t xml:space="preserve"> bohuslaviceuzl@seznam.cz</w:t>
            </w:r>
          </w:p>
          <w:p w14:paraId="24CC10ED" w14:textId="77777777" w:rsidR="00D93381" w:rsidRDefault="00D93381" w:rsidP="004C24A0">
            <w:pPr>
              <w:pStyle w:val="Bezmezer"/>
            </w:pPr>
            <w:r w:rsidRPr="0001217E">
              <w:rPr>
                <w:rFonts w:cstheme="minorHAnsi"/>
              </w:rPr>
              <w:t xml:space="preserve">Kontakt na pověřence: </w:t>
            </w:r>
            <w:hyperlink r:id="rId5" w:history="1">
              <w:r w:rsidRPr="0001217E">
                <w:rPr>
                  <w:rStyle w:val="Hypertextovodkaz"/>
                  <w:rFonts w:cstheme="minorHAnsi"/>
                  <w:color w:val="auto"/>
                  <w:u w:val="none"/>
                </w:rPr>
                <w:t>hana.johnova@sms-sluzby.cz</w:t>
              </w:r>
            </w:hyperlink>
          </w:p>
          <w:p w14:paraId="6251824C" w14:textId="2FA3EC14" w:rsidR="009252FD" w:rsidRPr="0001217E" w:rsidRDefault="009252FD" w:rsidP="004C24A0">
            <w:pPr>
              <w:pStyle w:val="Bezmezer"/>
              <w:rPr>
                <w:rFonts w:cstheme="minorHAnsi"/>
              </w:rPr>
            </w:pPr>
          </w:p>
        </w:tc>
      </w:tr>
      <w:tr w:rsidR="002430E5" w14:paraId="13CE6ADE" w14:textId="77777777" w:rsidTr="004C24A0">
        <w:trPr>
          <w:trHeight w:val="887"/>
        </w:trPr>
        <w:tc>
          <w:tcPr>
            <w:tcW w:w="1243" w:type="pct"/>
          </w:tcPr>
          <w:p w14:paraId="7FDC98DF" w14:textId="77777777" w:rsidR="004C24A0" w:rsidRDefault="004C24A0" w:rsidP="002430E5"/>
          <w:p w14:paraId="5D456E77" w14:textId="43611E84" w:rsidR="002430E5" w:rsidRDefault="002430E5" w:rsidP="002430E5">
            <w:r>
              <w:t>Kamerový systém</w:t>
            </w:r>
          </w:p>
        </w:tc>
        <w:tc>
          <w:tcPr>
            <w:tcW w:w="3757" w:type="pct"/>
            <w:vAlign w:val="center"/>
          </w:tcPr>
          <w:p w14:paraId="4BABAB10" w14:textId="7B772C22" w:rsidR="002430E5" w:rsidRPr="008D349D" w:rsidRDefault="002430E5" w:rsidP="004C24A0">
            <w:pPr>
              <w:pStyle w:val="Default"/>
              <w:rPr>
                <w:rFonts w:asciiTheme="minorHAnsi" w:hAnsiTheme="minorHAnsi" w:cstheme="minorHAnsi"/>
                <w:sz w:val="22"/>
                <w:szCs w:val="22"/>
              </w:rPr>
            </w:pPr>
            <w:r w:rsidRPr="008D349D">
              <w:rPr>
                <w:rFonts w:asciiTheme="minorHAnsi" w:hAnsiTheme="minorHAnsi" w:cstheme="minorHAnsi"/>
                <w:sz w:val="22"/>
                <w:szCs w:val="22"/>
              </w:rPr>
              <w:t>Kamerový systém se záznamem</w:t>
            </w:r>
            <w:r w:rsidR="004B6C5F" w:rsidRPr="008D349D">
              <w:rPr>
                <w:rFonts w:asciiTheme="minorHAnsi" w:hAnsiTheme="minorHAnsi" w:cstheme="minorHAnsi"/>
                <w:sz w:val="22"/>
                <w:szCs w:val="22"/>
              </w:rPr>
              <w:t>.</w:t>
            </w:r>
          </w:p>
        </w:tc>
      </w:tr>
      <w:tr w:rsidR="0094567E" w14:paraId="38DE15BC" w14:textId="77777777" w:rsidTr="004C24A0">
        <w:trPr>
          <w:trHeight w:val="843"/>
        </w:trPr>
        <w:tc>
          <w:tcPr>
            <w:tcW w:w="1243" w:type="pct"/>
          </w:tcPr>
          <w:p w14:paraId="0867597C" w14:textId="77777777" w:rsidR="004C24A0" w:rsidRDefault="004C24A0" w:rsidP="002430E5"/>
          <w:p w14:paraId="2EBD5E38" w14:textId="4CE1AAEE" w:rsidR="0094567E" w:rsidRDefault="0094567E" w:rsidP="002430E5">
            <w:r>
              <w:t>Účel zpracování</w:t>
            </w:r>
          </w:p>
        </w:tc>
        <w:tc>
          <w:tcPr>
            <w:tcW w:w="3757" w:type="pct"/>
            <w:vAlign w:val="center"/>
          </w:tcPr>
          <w:p w14:paraId="31D44EC1" w14:textId="7CE8C957" w:rsidR="0094567E" w:rsidRDefault="0094567E" w:rsidP="004C24A0">
            <w:r>
              <w:t>Ochrana majetku správce</w:t>
            </w:r>
            <w:r w:rsidR="00921B81">
              <w:t xml:space="preserve"> </w:t>
            </w:r>
            <w:r>
              <w:t>kamerového systému</w:t>
            </w:r>
            <w:r w:rsidR="00B20E52">
              <w:t xml:space="preserve">, </w:t>
            </w:r>
            <w:r w:rsidR="00B20E52" w:rsidRPr="00B20E52">
              <w:t>prevence a odhalování trestné činnosti (krádeže, vandalismus, vloupání)</w:t>
            </w:r>
            <w:r w:rsidR="00B20E52">
              <w:t>.</w:t>
            </w:r>
          </w:p>
        </w:tc>
      </w:tr>
      <w:tr w:rsidR="0094567E" w14:paraId="1A3354AA" w14:textId="77777777" w:rsidTr="004C24A0">
        <w:trPr>
          <w:trHeight w:val="1077"/>
        </w:trPr>
        <w:tc>
          <w:tcPr>
            <w:tcW w:w="1243" w:type="pct"/>
          </w:tcPr>
          <w:p w14:paraId="68AE7C57" w14:textId="77777777" w:rsidR="004C24A0" w:rsidRDefault="004C24A0" w:rsidP="002430E5"/>
          <w:p w14:paraId="52E7ECE5" w14:textId="77777777" w:rsidR="004C24A0" w:rsidRDefault="004C24A0" w:rsidP="002430E5"/>
          <w:p w14:paraId="60B86689" w14:textId="08E4F717" w:rsidR="0094567E" w:rsidRDefault="0094567E" w:rsidP="002430E5">
            <w:r>
              <w:t>Právní důvod</w:t>
            </w:r>
          </w:p>
        </w:tc>
        <w:tc>
          <w:tcPr>
            <w:tcW w:w="3757" w:type="pct"/>
            <w:vAlign w:val="center"/>
          </w:tcPr>
          <w:p w14:paraId="3CDF82B7" w14:textId="77777777" w:rsidR="0038304D" w:rsidRDefault="0038304D" w:rsidP="004C24A0"/>
          <w:p w14:paraId="6114ED82" w14:textId="28436752" w:rsidR="0094567E" w:rsidRDefault="0094567E" w:rsidP="004C24A0">
            <w:r>
              <w:t>Oprávněné zájmy správce a třetích stran (Nařízení Evropského parlamentu a Rady (EU) 2016/679, obecné nařízením o ochraně osobních údajů, čl. 6 odst. 1 písm. f).</w:t>
            </w:r>
          </w:p>
          <w:p w14:paraId="1D427947" w14:textId="75B178E0" w:rsidR="004C24A0" w:rsidRDefault="004C24A0" w:rsidP="004C24A0"/>
        </w:tc>
      </w:tr>
      <w:tr w:rsidR="0094567E" w14:paraId="537F827B" w14:textId="77777777" w:rsidTr="004C24A0">
        <w:trPr>
          <w:cantSplit/>
          <w:trHeight w:val="1134"/>
        </w:trPr>
        <w:tc>
          <w:tcPr>
            <w:tcW w:w="1243" w:type="pct"/>
          </w:tcPr>
          <w:p w14:paraId="43600200" w14:textId="77777777" w:rsidR="004C24A0" w:rsidRDefault="004C24A0" w:rsidP="002430E5"/>
          <w:p w14:paraId="7705B7A8" w14:textId="7AE87867" w:rsidR="0094567E" w:rsidRDefault="0094567E" w:rsidP="002430E5">
            <w:r>
              <w:t>Popis kategorií subjektu údajů</w:t>
            </w:r>
          </w:p>
        </w:tc>
        <w:tc>
          <w:tcPr>
            <w:tcW w:w="3757" w:type="pct"/>
          </w:tcPr>
          <w:p w14:paraId="1DDAE5EB" w14:textId="77777777" w:rsidR="004C24A0" w:rsidRDefault="004C24A0" w:rsidP="004C24A0"/>
          <w:p w14:paraId="31638F5C" w14:textId="77C8E765" w:rsidR="00E94245" w:rsidRDefault="0038304D" w:rsidP="0038304D">
            <w:r>
              <w:t>Uživatelé sportoviště, o</w:t>
            </w:r>
            <w:r w:rsidR="008D349D">
              <w:t>bčané, p</w:t>
            </w:r>
            <w:r w:rsidR="0094567E">
              <w:t>říležitostně vstupující osoby</w:t>
            </w:r>
            <w:r w:rsidR="008D349D">
              <w:t xml:space="preserve">, </w:t>
            </w:r>
            <w:r w:rsidR="00EE3C50">
              <w:t xml:space="preserve">osoby vstupující do </w:t>
            </w:r>
            <w:r w:rsidR="00B20E52">
              <w:t xml:space="preserve">školního </w:t>
            </w:r>
            <w:r w:rsidR="00EE3C50">
              <w:t>areálu.</w:t>
            </w:r>
          </w:p>
        </w:tc>
      </w:tr>
      <w:tr w:rsidR="0094567E" w14:paraId="57E845BB" w14:textId="77777777" w:rsidTr="004C24A0">
        <w:trPr>
          <w:trHeight w:val="1077"/>
        </w:trPr>
        <w:tc>
          <w:tcPr>
            <w:tcW w:w="1243" w:type="pct"/>
            <w:vAlign w:val="center"/>
          </w:tcPr>
          <w:p w14:paraId="3B95CD61" w14:textId="10DE7A0E" w:rsidR="0094567E" w:rsidRDefault="0094567E" w:rsidP="004C24A0">
            <w:r>
              <w:t>Popis kategorií osobních údajů</w:t>
            </w:r>
          </w:p>
        </w:tc>
        <w:tc>
          <w:tcPr>
            <w:tcW w:w="3757" w:type="pct"/>
            <w:vAlign w:val="center"/>
          </w:tcPr>
          <w:p w14:paraId="7CF4D6FB" w14:textId="1EBEFEFE" w:rsidR="0094567E" w:rsidRDefault="0094567E" w:rsidP="004C24A0">
            <w:r>
              <w:t>Podoby a obrazové informace o chování a jednání zaznamenaných osob.</w:t>
            </w:r>
          </w:p>
        </w:tc>
      </w:tr>
      <w:tr w:rsidR="0094567E" w14:paraId="74AF6A6E" w14:textId="77777777" w:rsidTr="004C24A0">
        <w:trPr>
          <w:trHeight w:val="1077"/>
        </w:trPr>
        <w:tc>
          <w:tcPr>
            <w:tcW w:w="1243" w:type="pct"/>
            <w:vAlign w:val="center"/>
          </w:tcPr>
          <w:p w14:paraId="2F1BA5B8" w14:textId="6357EC9F" w:rsidR="0094567E" w:rsidRDefault="0094567E" w:rsidP="004C24A0">
            <w:r>
              <w:t>Informace poskytované subjektům údajů</w:t>
            </w:r>
          </w:p>
        </w:tc>
        <w:tc>
          <w:tcPr>
            <w:tcW w:w="3757" w:type="pct"/>
            <w:vAlign w:val="center"/>
          </w:tcPr>
          <w:p w14:paraId="52B13E49" w14:textId="10536188" w:rsidR="0094567E" w:rsidRDefault="0094567E" w:rsidP="004C24A0">
            <w:r>
              <w:t>Prostřednictvím piktogramů umístěných na vstupech do zaznamenávaného prostoru, včetně identifikace správce a sdělení, kde lze získat další informace.</w:t>
            </w:r>
          </w:p>
        </w:tc>
      </w:tr>
      <w:tr w:rsidR="0094567E" w14:paraId="0ED07E07" w14:textId="77777777" w:rsidTr="004C24A0">
        <w:trPr>
          <w:trHeight w:val="1402"/>
        </w:trPr>
        <w:tc>
          <w:tcPr>
            <w:tcW w:w="1243" w:type="pct"/>
            <w:vAlign w:val="center"/>
          </w:tcPr>
          <w:p w14:paraId="1BF873B4" w14:textId="1F6C7DD9" w:rsidR="0094567E" w:rsidRDefault="0094567E" w:rsidP="004C24A0">
            <w:r>
              <w:t>Příjemci osobních údajů</w:t>
            </w:r>
          </w:p>
        </w:tc>
        <w:tc>
          <w:tcPr>
            <w:tcW w:w="3757" w:type="pct"/>
            <w:vAlign w:val="center"/>
          </w:tcPr>
          <w:p w14:paraId="257B8600" w14:textId="5EB7D505" w:rsidR="008D349D" w:rsidRDefault="0094567E" w:rsidP="004C24A0">
            <w:r>
              <w:t xml:space="preserve">V odůvodněných případech orgány činné v trestním řízení a správní orgány pro vedení přestupkového řízení, případně jiné zainteresované subjekty pro naplnění účelu zpracování (např. pojišťovna). </w:t>
            </w:r>
          </w:p>
        </w:tc>
      </w:tr>
      <w:tr w:rsidR="0094567E" w14:paraId="73863215" w14:textId="77777777" w:rsidTr="004C24A0">
        <w:trPr>
          <w:trHeight w:val="1077"/>
        </w:trPr>
        <w:tc>
          <w:tcPr>
            <w:tcW w:w="1243" w:type="pct"/>
            <w:vAlign w:val="center"/>
          </w:tcPr>
          <w:p w14:paraId="6487D063" w14:textId="592C477D" w:rsidR="0094567E" w:rsidRDefault="0094567E" w:rsidP="004C24A0">
            <w:r>
              <w:t>Lhůta pro výmaz</w:t>
            </w:r>
          </w:p>
        </w:tc>
        <w:tc>
          <w:tcPr>
            <w:tcW w:w="3757" w:type="pct"/>
            <w:vAlign w:val="center"/>
          </w:tcPr>
          <w:p w14:paraId="495240A1" w14:textId="4EAFCAC1" w:rsidR="0094567E" w:rsidRDefault="0094567E" w:rsidP="004C24A0">
            <w:r>
              <w:t>Doba uchování záznamu je 3 dny (72 hodin). Řešený zachycený incident je uchováván pro nezbytnou dobu.</w:t>
            </w:r>
          </w:p>
        </w:tc>
      </w:tr>
      <w:tr w:rsidR="0094567E" w14:paraId="2EE34EF4" w14:textId="77777777" w:rsidTr="009252FD">
        <w:trPr>
          <w:trHeight w:val="141"/>
        </w:trPr>
        <w:tc>
          <w:tcPr>
            <w:tcW w:w="1243" w:type="pct"/>
            <w:vAlign w:val="center"/>
          </w:tcPr>
          <w:p w14:paraId="0DCF8904" w14:textId="586947A5" w:rsidR="0094567E" w:rsidRDefault="0094567E" w:rsidP="004C24A0">
            <w:r>
              <w:t>Technická a organizační opatření</w:t>
            </w:r>
          </w:p>
        </w:tc>
        <w:tc>
          <w:tcPr>
            <w:tcW w:w="3757" w:type="pct"/>
            <w:vAlign w:val="center"/>
          </w:tcPr>
          <w:p w14:paraId="0DD5A975" w14:textId="77777777" w:rsidR="0038304D" w:rsidRDefault="0038304D" w:rsidP="004C24A0"/>
          <w:p w14:paraId="5D41693E" w14:textId="71D09E22" w:rsidR="0094567E" w:rsidRDefault="00C12188" w:rsidP="00C12188">
            <w:pPr>
              <w:pBdr>
                <w:top w:val="nil"/>
                <w:left w:val="nil"/>
                <w:bottom w:val="nil"/>
                <w:right w:val="nil"/>
                <w:between w:val="nil"/>
              </w:pBdr>
              <w:jc w:val="both"/>
            </w:pPr>
            <w:r>
              <w:t>Přístup k záznamu chráněn heslem, omezený počet uživatelských účtů, bezpečné u</w:t>
            </w:r>
            <w:r w:rsidR="0094567E" w:rsidRPr="004B6C5F">
              <w:t>místění kamer, bezpečnostní kryty, řízení přístupu k zařízení a záznamům, evidence přístupů</w:t>
            </w:r>
            <w:r w:rsidR="00E94245" w:rsidRPr="004B6C5F">
              <w:t xml:space="preserve">, školení oprávněných osob, vedení </w:t>
            </w:r>
            <w:r w:rsidR="00E94245" w:rsidRPr="004B6C5F">
              <w:lastRenderedPageBreak/>
              <w:t>předávacích protokolů třetím osobám</w:t>
            </w:r>
            <w:r>
              <w:t xml:space="preserve">, pravidelné aktualizace firmware zařízení. </w:t>
            </w:r>
          </w:p>
          <w:p w14:paraId="6DC80E8E" w14:textId="6B1573BD" w:rsidR="008D349D" w:rsidRDefault="008D349D" w:rsidP="004C24A0"/>
        </w:tc>
      </w:tr>
      <w:tr w:rsidR="008D349D" w14:paraId="64FD8F34" w14:textId="77777777" w:rsidTr="004C24A0">
        <w:trPr>
          <w:trHeight w:val="1077"/>
        </w:trPr>
        <w:tc>
          <w:tcPr>
            <w:tcW w:w="1243" w:type="pct"/>
            <w:vAlign w:val="center"/>
          </w:tcPr>
          <w:p w14:paraId="79494721" w14:textId="5CE51B7D" w:rsidR="008D349D" w:rsidRDefault="008D349D" w:rsidP="004C24A0">
            <w:r>
              <w:lastRenderedPageBreak/>
              <w:t>Režim kamer</w:t>
            </w:r>
          </w:p>
        </w:tc>
        <w:tc>
          <w:tcPr>
            <w:tcW w:w="3757" w:type="pct"/>
            <w:vAlign w:val="center"/>
          </w:tcPr>
          <w:p w14:paraId="0B3AACA3" w14:textId="0F36F883" w:rsidR="008D349D" w:rsidRPr="004B6C5F" w:rsidRDefault="0038304D" w:rsidP="004C24A0">
            <w:r>
              <w:t xml:space="preserve">Pouze ve vymezených časech. </w:t>
            </w:r>
            <w:r w:rsidR="008D349D">
              <w:t>Dochází k prostému záznamu bez využití softwarového porovnání biometrických charakteristik.</w:t>
            </w:r>
          </w:p>
        </w:tc>
      </w:tr>
      <w:tr w:rsidR="008D349D" w14:paraId="12E55F9A" w14:textId="77777777" w:rsidTr="004C24A0">
        <w:trPr>
          <w:trHeight w:val="1077"/>
        </w:trPr>
        <w:tc>
          <w:tcPr>
            <w:tcW w:w="1243" w:type="pct"/>
            <w:vAlign w:val="center"/>
          </w:tcPr>
          <w:p w14:paraId="11C62EA3" w14:textId="26CD43FA" w:rsidR="008D349D" w:rsidRDefault="008D349D" w:rsidP="004C24A0">
            <w:r>
              <w:t>Objekty umístění kamer</w:t>
            </w:r>
          </w:p>
        </w:tc>
        <w:tc>
          <w:tcPr>
            <w:tcW w:w="3757" w:type="pct"/>
            <w:vAlign w:val="center"/>
          </w:tcPr>
          <w:p w14:paraId="7AF7E3A6" w14:textId="2B9C9BD4" w:rsidR="008D349D" w:rsidRPr="004B6C5F" w:rsidRDefault="0038304D" w:rsidP="004C24A0">
            <w:r>
              <w:rPr>
                <w:rFonts w:cstheme="minorHAnsi"/>
                <w:shd w:val="clear" w:color="auto" w:fill="FFFFFF"/>
              </w:rPr>
              <w:t>Areál</w:t>
            </w:r>
            <w:r w:rsidR="00C12188">
              <w:rPr>
                <w:rFonts w:cstheme="minorHAnsi"/>
                <w:shd w:val="clear" w:color="auto" w:fill="FFFFFF"/>
              </w:rPr>
              <w:t xml:space="preserve"> </w:t>
            </w:r>
            <w:r w:rsidR="008D349D">
              <w:rPr>
                <w:rFonts w:cstheme="minorHAnsi"/>
                <w:shd w:val="clear" w:color="auto" w:fill="FFFFFF"/>
              </w:rPr>
              <w:t>multifunkčního hřiště</w:t>
            </w:r>
            <w:r w:rsidR="00C12188">
              <w:rPr>
                <w:rFonts w:cstheme="minorHAnsi"/>
                <w:shd w:val="clear" w:color="auto" w:fill="FFFFFF"/>
              </w:rPr>
              <w:t xml:space="preserve"> a školní areál vstupu do budovy.</w:t>
            </w:r>
          </w:p>
        </w:tc>
      </w:tr>
      <w:tr w:rsidR="008D349D" w14:paraId="5612819F" w14:textId="77777777" w:rsidTr="004C24A0">
        <w:trPr>
          <w:trHeight w:val="1077"/>
        </w:trPr>
        <w:tc>
          <w:tcPr>
            <w:tcW w:w="1243" w:type="pct"/>
            <w:vAlign w:val="center"/>
          </w:tcPr>
          <w:p w14:paraId="6BA3C0ED" w14:textId="0B13DA94" w:rsidR="008D349D" w:rsidRDefault="008D349D" w:rsidP="004C24A0">
            <w:r>
              <w:t>Práva subjektu údajů</w:t>
            </w:r>
          </w:p>
        </w:tc>
        <w:tc>
          <w:tcPr>
            <w:tcW w:w="3757" w:type="pct"/>
            <w:vAlign w:val="center"/>
          </w:tcPr>
          <w:p w14:paraId="75597D54" w14:textId="77777777" w:rsidR="008D349D" w:rsidRDefault="008D349D" w:rsidP="004C24A0">
            <w:pPr>
              <w:pStyle w:val="Default"/>
              <w:rPr>
                <w:sz w:val="21"/>
                <w:szCs w:val="21"/>
              </w:rPr>
            </w:pPr>
            <w:r>
              <w:rPr>
                <w:sz w:val="21"/>
                <w:szCs w:val="21"/>
              </w:rPr>
              <w:t>•Právo na přístup k osobním údajům (čl. 15 GDPR)</w:t>
            </w:r>
          </w:p>
          <w:p w14:paraId="0529FFB9" w14:textId="77777777" w:rsidR="008D349D" w:rsidRDefault="008D349D" w:rsidP="004C24A0">
            <w:pPr>
              <w:pStyle w:val="Default"/>
              <w:rPr>
                <w:sz w:val="21"/>
                <w:szCs w:val="21"/>
              </w:rPr>
            </w:pPr>
            <w:r>
              <w:rPr>
                <w:sz w:val="21"/>
                <w:szCs w:val="21"/>
              </w:rPr>
              <w:t xml:space="preserve"> </w:t>
            </w:r>
          </w:p>
          <w:p w14:paraId="37440797" w14:textId="77777777" w:rsidR="008D349D" w:rsidRDefault="008D349D" w:rsidP="004C24A0">
            <w:pPr>
              <w:pStyle w:val="Default"/>
              <w:rPr>
                <w:sz w:val="21"/>
                <w:szCs w:val="21"/>
              </w:rPr>
            </w:pPr>
            <w:r>
              <w:rPr>
                <w:sz w:val="21"/>
                <w:szCs w:val="21"/>
              </w:rPr>
              <w:t xml:space="preserve">Zajištěno na základě žádosti subjektu údajů v rozsahu údajů o něm zpracovávaných. Obrazové záznamy jsou subjektům údajů poskytnuty v rozšířeném strojově čitelném formátu (doplnit jakém/jakých). </w:t>
            </w:r>
          </w:p>
          <w:p w14:paraId="47E40C37" w14:textId="77777777" w:rsidR="008D349D" w:rsidRDefault="008D349D" w:rsidP="004C24A0">
            <w:pPr>
              <w:pStyle w:val="Default"/>
              <w:rPr>
                <w:sz w:val="21"/>
                <w:szCs w:val="21"/>
              </w:rPr>
            </w:pPr>
          </w:p>
          <w:p w14:paraId="12B56416" w14:textId="77777777" w:rsidR="008D349D" w:rsidRDefault="008D349D" w:rsidP="004C24A0">
            <w:pPr>
              <w:pStyle w:val="Default"/>
              <w:rPr>
                <w:sz w:val="21"/>
                <w:szCs w:val="21"/>
              </w:rPr>
            </w:pPr>
            <w:r>
              <w:rPr>
                <w:sz w:val="21"/>
                <w:szCs w:val="21"/>
              </w:rPr>
              <w:t xml:space="preserve">• Právo na opravu osobních údajů (čl. 16 GDPR) </w:t>
            </w:r>
          </w:p>
          <w:p w14:paraId="53CD6C1E" w14:textId="77777777" w:rsidR="008D349D" w:rsidRDefault="008D349D" w:rsidP="004C24A0">
            <w:pPr>
              <w:pStyle w:val="Default"/>
              <w:rPr>
                <w:sz w:val="21"/>
                <w:szCs w:val="21"/>
              </w:rPr>
            </w:pPr>
          </w:p>
          <w:p w14:paraId="0AB9A9B9" w14:textId="77777777" w:rsidR="008D349D" w:rsidRDefault="008D349D" w:rsidP="004C24A0">
            <w:pPr>
              <w:pStyle w:val="Default"/>
              <w:rPr>
                <w:sz w:val="21"/>
                <w:szCs w:val="21"/>
              </w:rPr>
            </w:pPr>
            <w:r>
              <w:rPr>
                <w:sz w:val="21"/>
                <w:szCs w:val="21"/>
              </w:rPr>
              <w:t xml:space="preserve">Vzhledem k charakteru zpracovávaných osobních údajů (obrazový záznam) se právo na opravu neuplatní. Pomocí technických a organizačních opatření řešen neoprávněný zásah do kamerového záznamu. </w:t>
            </w:r>
          </w:p>
          <w:p w14:paraId="0FB0C420" w14:textId="77777777" w:rsidR="008D349D" w:rsidRDefault="008D349D" w:rsidP="004C24A0">
            <w:pPr>
              <w:pStyle w:val="Default"/>
              <w:rPr>
                <w:sz w:val="21"/>
                <w:szCs w:val="21"/>
              </w:rPr>
            </w:pPr>
          </w:p>
          <w:p w14:paraId="0B60AFA8" w14:textId="77777777" w:rsidR="008D349D" w:rsidRDefault="008D349D" w:rsidP="004C24A0">
            <w:pPr>
              <w:pStyle w:val="Default"/>
              <w:rPr>
                <w:sz w:val="21"/>
                <w:szCs w:val="21"/>
              </w:rPr>
            </w:pPr>
            <w:r>
              <w:rPr>
                <w:sz w:val="21"/>
                <w:szCs w:val="21"/>
              </w:rPr>
              <w:t xml:space="preserve">• Právo na výmaz osobních údajů (čl. 17 GDPR) </w:t>
            </w:r>
          </w:p>
          <w:p w14:paraId="173F8412" w14:textId="77777777" w:rsidR="008D349D" w:rsidRDefault="008D349D" w:rsidP="004C24A0">
            <w:pPr>
              <w:pStyle w:val="Default"/>
              <w:rPr>
                <w:sz w:val="21"/>
                <w:szCs w:val="21"/>
              </w:rPr>
            </w:pPr>
          </w:p>
          <w:p w14:paraId="7ABA5750" w14:textId="77777777" w:rsidR="008D349D" w:rsidRDefault="008D349D" w:rsidP="004C24A0">
            <w:pPr>
              <w:pStyle w:val="Default"/>
              <w:rPr>
                <w:sz w:val="21"/>
                <w:szCs w:val="21"/>
              </w:rPr>
            </w:pPr>
            <w:r>
              <w:rPr>
                <w:sz w:val="21"/>
                <w:szCs w:val="21"/>
              </w:rPr>
              <w:t xml:space="preserve">Vzhledem k době uchování má subjekt údajů právo požádat o vymazání údajů, na kterých je zobrazen, pokud záznam nezachycuje mimořádnou událost. Jeho žádost bude vyřízena do 30 dní od obdržení. </w:t>
            </w:r>
          </w:p>
          <w:p w14:paraId="59B4A1C8" w14:textId="77777777" w:rsidR="008D349D" w:rsidRDefault="008D349D" w:rsidP="004C24A0">
            <w:pPr>
              <w:pStyle w:val="Default"/>
              <w:rPr>
                <w:sz w:val="21"/>
                <w:szCs w:val="21"/>
              </w:rPr>
            </w:pPr>
          </w:p>
          <w:p w14:paraId="01AF4A1B" w14:textId="77777777" w:rsidR="008D349D" w:rsidRDefault="008D349D" w:rsidP="004C24A0">
            <w:pPr>
              <w:pStyle w:val="Default"/>
              <w:rPr>
                <w:sz w:val="21"/>
                <w:szCs w:val="21"/>
              </w:rPr>
            </w:pPr>
            <w:r>
              <w:rPr>
                <w:sz w:val="21"/>
                <w:szCs w:val="21"/>
              </w:rPr>
              <w:t xml:space="preserve">• Právo na omezení zpracování (čl. 18 GDPR) </w:t>
            </w:r>
          </w:p>
          <w:p w14:paraId="3CBA961F" w14:textId="77777777" w:rsidR="008D349D" w:rsidRDefault="008D349D" w:rsidP="004C24A0">
            <w:pPr>
              <w:pStyle w:val="Default"/>
              <w:rPr>
                <w:sz w:val="21"/>
                <w:szCs w:val="21"/>
              </w:rPr>
            </w:pPr>
          </w:p>
          <w:p w14:paraId="5D1DF276" w14:textId="77777777" w:rsidR="008D349D" w:rsidRDefault="008D349D" w:rsidP="004C24A0">
            <w:pPr>
              <w:pStyle w:val="Default"/>
              <w:rPr>
                <w:sz w:val="21"/>
                <w:szCs w:val="21"/>
              </w:rPr>
            </w:pPr>
            <w:r>
              <w:rPr>
                <w:sz w:val="21"/>
                <w:szCs w:val="21"/>
              </w:rPr>
              <w:t xml:space="preserve">Subjekt údajů může vznést u správce námitku proti zpracování, a po dobu, než dojde k ověření, že oprávněné zájmy správce nepřevažují nad oprávněnými zájmy subjektů údajů, správce omezí zpracování osobních údajů na jejich ukládání. Pokud subjekt údajů osobní údaje potřebuje pro určení, výkon nebo obhajobu právních nároků, potom správce osobní údaje subjektu údajů uchová na základě jeho žádosti i po pominutí účelu zpracování nebo doby uložení kamerových záznamů. </w:t>
            </w:r>
          </w:p>
          <w:p w14:paraId="60EB897C" w14:textId="77777777" w:rsidR="008D349D" w:rsidRDefault="008D349D" w:rsidP="004C24A0">
            <w:pPr>
              <w:pStyle w:val="Default"/>
              <w:rPr>
                <w:sz w:val="21"/>
                <w:szCs w:val="21"/>
              </w:rPr>
            </w:pPr>
          </w:p>
          <w:p w14:paraId="4706341C" w14:textId="77777777" w:rsidR="008D349D" w:rsidRDefault="008D349D" w:rsidP="004C24A0">
            <w:pPr>
              <w:pStyle w:val="Default"/>
              <w:rPr>
                <w:sz w:val="21"/>
                <w:szCs w:val="21"/>
              </w:rPr>
            </w:pPr>
            <w:r>
              <w:rPr>
                <w:sz w:val="21"/>
                <w:szCs w:val="21"/>
              </w:rPr>
              <w:t xml:space="preserve">• Právo na přenositelnost údajů (čl. 20 GDPR) </w:t>
            </w:r>
          </w:p>
          <w:p w14:paraId="5409FCBF" w14:textId="77777777" w:rsidR="008D349D" w:rsidRDefault="008D349D" w:rsidP="004C24A0">
            <w:pPr>
              <w:pStyle w:val="Default"/>
              <w:rPr>
                <w:sz w:val="21"/>
                <w:szCs w:val="21"/>
              </w:rPr>
            </w:pPr>
          </w:p>
          <w:p w14:paraId="1E321EC7" w14:textId="77777777" w:rsidR="008D349D" w:rsidRDefault="008D349D" w:rsidP="004C24A0">
            <w:pPr>
              <w:pStyle w:val="Default"/>
              <w:rPr>
                <w:sz w:val="21"/>
                <w:szCs w:val="21"/>
              </w:rPr>
            </w:pPr>
            <w:r>
              <w:rPr>
                <w:sz w:val="21"/>
                <w:szCs w:val="21"/>
              </w:rPr>
              <w:t xml:space="preserve">Neuplatní se, přenositelnost k novému správci nemá smysl, subjekt údajů však může uplatnit právo na přístup, kdy jsou mu poskytnuty obrazové záznamy o jeho osobě ve strojově čitelném formátu (viz výše). </w:t>
            </w:r>
          </w:p>
          <w:p w14:paraId="03D387A5" w14:textId="77777777" w:rsidR="008D349D" w:rsidRDefault="008D349D" w:rsidP="004C24A0">
            <w:pPr>
              <w:pStyle w:val="Default"/>
              <w:rPr>
                <w:sz w:val="21"/>
                <w:szCs w:val="21"/>
              </w:rPr>
            </w:pPr>
          </w:p>
          <w:p w14:paraId="65078621" w14:textId="77777777" w:rsidR="008D349D" w:rsidRDefault="008D349D" w:rsidP="004C24A0">
            <w:pPr>
              <w:pStyle w:val="Default"/>
              <w:rPr>
                <w:sz w:val="21"/>
                <w:szCs w:val="21"/>
              </w:rPr>
            </w:pPr>
            <w:r>
              <w:rPr>
                <w:sz w:val="21"/>
                <w:szCs w:val="21"/>
              </w:rPr>
              <w:t xml:space="preserve">• Právo vznést námitku (čl. 21 GDPR) </w:t>
            </w:r>
          </w:p>
          <w:p w14:paraId="6CB17AE0" w14:textId="77777777" w:rsidR="008D349D" w:rsidRDefault="008D349D" w:rsidP="004C24A0">
            <w:pPr>
              <w:pStyle w:val="Default"/>
              <w:rPr>
                <w:sz w:val="21"/>
                <w:szCs w:val="21"/>
              </w:rPr>
            </w:pPr>
          </w:p>
          <w:p w14:paraId="6FC3C9E0" w14:textId="77777777" w:rsidR="008D349D" w:rsidRDefault="008D349D" w:rsidP="004C24A0">
            <w:pPr>
              <w:pStyle w:val="Default"/>
              <w:rPr>
                <w:sz w:val="21"/>
                <w:szCs w:val="21"/>
              </w:rPr>
            </w:pPr>
            <w:r>
              <w:rPr>
                <w:sz w:val="21"/>
                <w:szCs w:val="21"/>
              </w:rPr>
              <w:t xml:space="preserve">Subjekt údajů má právo vznést námitku např. prostřednictvím e-mailu správce uvedeného v hlavičce této informace. </w:t>
            </w:r>
          </w:p>
          <w:p w14:paraId="452482CC" w14:textId="77777777" w:rsidR="008D349D" w:rsidRDefault="008D349D" w:rsidP="004C24A0">
            <w:pPr>
              <w:pStyle w:val="Default"/>
              <w:rPr>
                <w:sz w:val="21"/>
                <w:szCs w:val="21"/>
              </w:rPr>
            </w:pPr>
            <w:r>
              <w:rPr>
                <w:sz w:val="21"/>
                <w:szCs w:val="21"/>
              </w:rPr>
              <w:t xml:space="preserve">• Právo podat stížnost u dozorového úřadu (čl. 77 GDPR) </w:t>
            </w:r>
          </w:p>
          <w:p w14:paraId="24BA9FA8" w14:textId="77777777" w:rsidR="008D349D" w:rsidRDefault="008D349D" w:rsidP="004C24A0">
            <w:pPr>
              <w:pStyle w:val="Default"/>
              <w:rPr>
                <w:sz w:val="21"/>
                <w:szCs w:val="21"/>
              </w:rPr>
            </w:pPr>
          </w:p>
          <w:p w14:paraId="042D39E4" w14:textId="268BB7D0" w:rsidR="008D349D" w:rsidRPr="004B6C5F" w:rsidRDefault="008D349D" w:rsidP="004C24A0">
            <w:r>
              <w:rPr>
                <w:sz w:val="21"/>
                <w:szCs w:val="21"/>
              </w:rPr>
              <w:lastRenderedPageBreak/>
              <w:t xml:space="preserve">Každý subjekt údajů (pokud se domnívá, že došlo k porušení obecného nařízení) má právo podat stížnost Úřadu pro ochranu osobních údajů, Pplk. Sochora 27, 170 00 Praha 7, tel. +420 234 665 111, e-mail </w:t>
            </w:r>
            <w:r>
              <w:rPr>
                <w:color w:val="0000FF"/>
                <w:sz w:val="21"/>
                <w:szCs w:val="21"/>
              </w:rPr>
              <w:t>posta@uoou.cz</w:t>
            </w:r>
            <w:r>
              <w:rPr>
                <w:sz w:val="21"/>
                <w:szCs w:val="21"/>
              </w:rPr>
              <w:t xml:space="preserve">. </w:t>
            </w:r>
          </w:p>
        </w:tc>
      </w:tr>
      <w:tr w:rsidR="00D93381" w14:paraId="212D8FB5" w14:textId="77777777" w:rsidTr="004C24A0">
        <w:trPr>
          <w:trHeight w:val="1077"/>
        </w:trPr>
        <w:tc>
          <w:tcPr>
            <w:tcW w:w="1243" w:type="pct"/>
            <w:vAlign w:val="center"/>
          </w:tcPr>
          <w:p w14:paraId="5504CB24" w14:textId="77777777" w:rsidR="00D93381" w:rsidRPr="00D93381" w:rsidRDefault="00D93381" w:rsidP="004C24A0">
            <w:pPr>
              <w:pStyle w:val="Default"/>
              <w:rPr>
                <w:sz w:val="23"/>
                <w:szCs w:val="23"/>
              </w:rPr>
            </w:pPr>
            <w:r w:rsidRPr="00D93381">
              <w:rPr>
                <w:sz w:val="23"/>
                <w:szCs w:val="23"/>
              </w:rPr>
              <w:lastRenderedPageBreak/>
              <w:t xml:space="preserve">Automatizované rozhodování včetně profilování </w:t>
            </w:r>
          </w:p>
          <w:p w14:paraId="215EAAEF" w14:textId="77777777" w:rsidR="00D93381" w:rsidRDefault="00D93381" w:rsidP="004C24A0"/>
        </w:tc>
        <w:tc>
          <w:tcPr>
            <w:tcW w:w="3757" w:type="pct"/>
            <w:vAlign w:val="center"/>
          </w:tcPr>
          <w:p w14:paraId="47D067DE" w14:textId="0D9C1ECD" w:rsidR="00D93381" w:rsidRDefault="00D93381" w:rsidP="0038304D">
            <w:pPr>
              <w:pStyle w:val="Default"/>
              <w:rPr>
                <w:sz w:val="21"/>
                <w:szCs w:val="21"/>
              </w:rPr>
            </w:pPr>
            <w:r>
              <w:rPr>
                <w:sz w:val="21"/>
                <w:szCs w:val="21"/>
              </w:rPr>
              <w:t xml:space="preserve">Správce nebude provádět automatizované rozhodování, včetně profilování. </w:t>
            </w:r>
          </w:p>
        </w:tc>
      </w:tr>
      <w:tr w:rsidR="00D93381" w14:paraId="1ABD8561" w14:textId="77777777" w:rsidTr="004C24A0">
        <w:trPr>
          <w:trHeight w:val="1077"/>
        </w:trPr>
        <w:tc>
          <w:tcPr>
            <w:tcW w:w="1243" w:type="pct"/>
            <w:vAlign w:val="center"/>
          </w:tcPr>
          <w:p w14:paraId="3E1BCB98" w14:textId="77777777" w:rsidR="00D93381" w:rsidRPr="00D93381" w:rsidRDefault="00D93381" w:rsidP="004C24A0">
            <w:pPr>
              <w:pStyle w:val="Default"/>
              <w:rPr>
                <w:sz w:val="23"/>
                <w:szCs w:val="23"/>
              </w:rPr>
            </w:pPr>
            <w:r w:rsidRPr="00D93381">
              <w:rPr>
                <w:sz w:val="23"/>
                <w:szCs w:val="23"/>
              </w:rPr>
              <w:t xml:space="preserve">Předání do třetí země nebo mezinárodní organizaci </w:t>
            </w:r>
          </w:p>
          <w:p w14:paraId="61B1D30F" w14:textId="77777777" w:rsidR="00D93381" w:rsidRPr="00D93381" w:rsidRDefault="00D93381" w:rsidP="004C24A0">
            <w:pPr>
              <w:pStyle w:val="Default"/>
              <w:rPr>
                <w:sz w:val="23"/>
                <w:szCs w:val="23"/>
              </w:rPr>
            </w:pPr>
          </w:p>
        </w:tc>
        <w:tc>
          <w:tcPr>
            <w:tcW w:w="3757" w:type="pct"/>
            <w:vAlign w:val="center"/>
          </w:tcPr>
          <w:p w14:paraId="58567F80" w14:textId="77777777" w:rsidR="00D93381" w:rsidRDefault="00D93381" w:rsidP="004C24A0">
            <w:pPr>
              <w:pStyle w:val="Default"/>
              <w:rPr>
                <w:sz w:val="21"/>
                <w:szCs w:val="21"/>
              </w:rPr>
            </w:pPr>
            <w:r>
              <w:rPr>
                <w:sz w:val="21"/>
                <w:szCs w:val="21"/>
              </w:rPr>
              <w:t xml:space="preserve">Správce nepředává osobní údaje do třetích zemí nebo mezinárodním organizacím. </w:t>
            </w:r>
          </w:p>
          <w:p w14:paraId="7DFAD4AA" w14:textId="77777777" w:rsidR="00D93381" w:rsidRDefault="00D93381" w:rsidP="004C24A0">
            <w:pPr>
              <w:pStyle w:val="Default"/>
              <w:rPr>
                <w:sz w:val="21"/>
                <w:szCs w:val="21"/>
              </w:rPr>
            </w:pPr>
          </w:p>
        </w:tc>
      </w:tr>
    </w:tbl>
    <w:p w14:paraId="61129261" w14:textId="77777777" w:rsidR="00E94245" w:rsidRDefault="00E94245"/>
    <w:sectPr w:rsidR="00E9424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0E02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3DD64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01DEB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88A77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B0E50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6A43453"/>
    <w:multiLevelType w:val="multilevel"/>
    <w:tmpl w:val="3982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7E47EC"/>
    <w:multiLevelType w:val="multilevel"/>
    <w:tmpl w:val="FD76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4605F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778C0372"/>
    <w:multiLevelType w:val="hybridMultilevel"/>
    <w:tmpl w:val="D5EE93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8139BA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20687946">
    <w:abstractNumId w:val="3"/>
  </w:num>
  <w:num w:numId="2" w16cid:durableId="1947468031">
    <w:abstractNumId w:val="2"/>
  </w:num>
  <w:num w:numId="3" w16cid:durableId="1636787221">
    <w:abstractNumId w:val="0"/>
  </w:num>
  <w:num w:numId="4" w16cid:durableId="1016466337">
    <w:abstractNumId w:val="7"/>
  </w:num>
  <w:num w:numId="5" w16cid:durableId="1674645351">
    <w:abstractNumId w:val="1"/>
  </w:num>
  <w:num w:numId="6" w16cid:durableId="563418701">
    <w:abstractNumId w:val="4"/>
  </w:num>
  <w:num w:numId="7" w16cid:durableId="919679954">
    <w:abstractNumId w:val="9"/>
  </w:num>
  <w:num w:numId="8" w16cid:durableId="1610577010">
    <w:abstractNumId w:val="8"/>
  </w:num>
  <w:num w:numId="9" w16cid:durableId="1725366565">
    <w:abstractNumId w:val="6"/>
  </w:num>
  <w:num w:numId="10" w16cid:durableId="18373782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D23"/>
    <w:rsid w:val="0001217E"/>
    <w:rsid w:val="0016061C"/>
    <w:rsid w:val="001D0A52"/>
    <w:rsid w:val="001E5ADF"/>
    <w:rsid w:val="002430E5"/>
    <w:rsid w:val="0038304D"/>
    <w:rsid w:val="004A0E85"/>
    <w:rsid w:val="004B6C5F"/>
    <w:rsid w:val="004C24A0"/>
    <w:rsid w:val="005E218F"/>
    <w:rsid w:val="006C5BED"/>
    <w:rsid w:val="00734170"/>
    <w:rsid w:val="007B4D23"/>
    <w:rsid w:val="0088242B"/>
    <w:rsid w:val="008D0122"/>
    <w:rsid w:val="008D349D"/>
    <w:rsid w:val="00921B81"/>
    <w:rsid w:val="009252FD"/>
    <w:rsid w:val="0094567E"/>
    <w:rsid w:val="00B20E52"/>
    <w:rsid w:val="00B4121F"/>
    <w:rsid w:val="00BC3D77"/>
    <w:rsid w:val="00C12188"/>
    <w:rsid w:val="00D93381"/>
    <w:rsid w:val="00DA1326"/>
    <w:rsid w:val="00E213B4"/>
    <w:rsid w:val="00E94245"/>
    <w:rsid w:val="00EE3C50"/>
    <w:rsid w:val="00F015F8"/>
    <w:rsid w:val="00F07DEF"/>
    <w:rsid w:val="00FA3675"/>
    <w:rsid w:val="00FF72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A1FB"/>
  <w15:chartTrackingRefBased/>
  <w15:docId w15:val="{AB0D61D8-0FCC-421F-B6A1-3B52E01A1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945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430E5"/>
    <w:pPr>
      <w:autoSpaceDE w:val="0"/>
      <w:autoSpaceDN w:val="0"/>
      <w:adjustRightInd w:val="0"/>
      <w:spacing w:after="0" w:line="240" w:lineRule="auto"/>
    </w:pPr>
    <w:rPr>
      <w:rFonts w:ascii="Calibri" w:hAnsi="Calibri" w:cs="Calibri"/>
      <w:color w:val="000000"/>
      <w:kern w:val="0"/>
      <w:sz w:val="24"/>
      <w:szCs w:val="24"/>
    </w:rPr>
  </w:style>
  <w:style w:type="character" w:styleId="Hypertextovodkaz">
    <w:name w:val="Hyperlink"/>
    <w:basedOn w:val="Standardnpsmoodstavce"/>
    <w:uiPriority w:val="99"/>
    <w:unhideWhenUsed/>
    <w:rsid w:val="004B6C5F"/>
    <w:rPr>
      <w:color w:val="0000FF"/>
      <w:u w:val="single"/>
    </w:rPr>
  </w:style>
  <w:style w:type="paragraph" w:styleId="Bezmezer">
    <w:name w:val="No Spacing"/>
    <w:uiPriority w:val="1"/>
    <w:qFormat/>
    <w:rsid w:val="004B6C5F"/>
    <w:pPr>
      <w:spacing w:after="0" w:line="240" w:lineRule="auto"/>
    </w:pPr>
  </w:style>
  <w:style w:type="character" w:styleId="Nevyeenzmnka">
    <w:name w:val="Unresolved Mention"/>
    <w:basedOn w:val="Standardnpsmoodstavce"/>
    <w:uiPriority w:val="99"/>
    <w:semiHidden/>
    <w:unhideWhenUsed/>
    <w:rsid w:val="00D93381"/>
    <w:rPr>
      <w:color w:val="605E5C"/>
      <w:shd w:val="clear" w:color="auto" w:fill="E1DFDD"/>
    </w:rPr>
  </w:style>
  <w:style w:type="paragraph" w:customStyle="1" w:styleId="Popisek">
    <w:name w:val="Popisek"/>
    <w:basedOn w:val="Normln"/>
    <w:rsid w:val="00EE3C50"/>
    <w:pPr>
      <w:widowControl w:val="0"/>
      <w:suppressLineNumbers/>
      <w:suppressAutoHyphens/>
      <w:spacing w:before="120" w:after="120" w:line="240" w:lineRule="auto"/>
    </w:pPr>
    <w:rPr>
      <w:rFonts w:ascii="Times New Roman" w:eastAsia="Arial Unicode MS" w:hAnsi="Times New Roman" w:cs="Arial Unicode MS"/>
      <w:i/>
      <w:iCs/>
      <w:kern w:val="1"/>
      <w:sz w:val="24"/>
      <w:szCs w:val="24"/>
      <w:lang w:eastAsia="hi-I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9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na.johnova@sms-sluzby.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615</Words>
  <Characters>3633</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Hani Johnova</dc:creator>
  <cp:keywords/>
  <dc:description/>
  <cp:lastModifiedBy>Hani Johnova</cp:lastModifiedBy>
  <cp:revision>5</cp:revision>
  <dcterms:created xsi:type="dcterms:W3CDTF">2025-09-04T08:21:00Z</dcterms:created>
  <dcterms:modified xsi:type="dcterms:W3CDTF">2025-09-29T07:24:00Z</dcterms:modified>
</cp:coreProperties>
</file>